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1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17"/>
        <w:gridCol w:w="2924"/>
        <w:gridCol w:w="1760"/>
        <w:gridCol w:w="3217"/>
      </w:tblGrid>
      <w:tr w:rsidR="00DC3BA7" w:rsidRPr="008C32EA" w14:paraId="6EA8CF55" w14:textId="77777777" w:rsidTr="00653CB4">
        <w:trPr>
          <w:gridAfter w:val="1"/>
          <w:wAfter w:w="3217" w:type="dxa"/>
          <w:cantSplit/>
          <w:trHeight w:hRule="exact" w:val="555"/>
        </w:trPr>
        <w:tc>
          <w:tcPr>
            <w:tcW w:w="7901" w:type="dxa"/>
            <w:gridSpan w:val="3"/>
            <w:vMerge w:val="restart"/>
          </w:tcPr>
          <w:p w14:paraId="3561CC18" w14:textId="77777777" w:rsidR="00DC3BA7" w:rsidRDefault="00DC3BA7" w:rsidP="008B784D">
            <w:pPr>
              <w:pStyle w:val="CVNormal"/>
              <w:ind w:left="0"/>
              <w:jc w:val="center"/>
              <w:rPr>
                <w:rFonts w:ascii="Garamond" w:hAnsi="Garamond"/>
                <w:b/>
                <w:sz w:val="28"/>
                <w:szCs w:val="28"/>
                <w:lang w:val="en-GB"/>
              </w:rPr>
            </w:pPr>
            <w:r w:rsidRPr="008B784D">
              <w:rPr>
                <w:rFonts w:ascii="Garamond" w:hAnsi="Garamond"/>
                <w:b/>
                <w:sz w:val="28"/>
                <w:szCs w:val="28"/>
                <w:lang w:val="en-GB"/>
              </w:rPr>
              <w:t>CURRICULUM VITAE</w:t>
            </w:r>
          </w:p>
          <w:p w14:paraId="336F89FC" w14:textId="77777777" w:rsidR="00584CAA" w:rsidRDefault="00584CAA" w:rsidP="008B784D">
            <w:pPr>
              <w:pStyle w:val="CVNormal"/>
              <w:ind w:left="0"/>
              <w:jc w:val="center"/>
              <w:rPr>
                <w:rFonts w:ascii="Garamond" w:hAnsi="Garamond"/>
                <w:b/>
                <w:sz w:val="28"/>
                <w:szCs w:val="28"/>
                <w:lang w:val="en-GB"/>
              </w:rPr>
            </w:pPr>
          </w:p>
          <w:p w14:paraId="6D9BEEA4" w14:textId="77777777" w:rsidR="00584CAA" w:rsidRDefault="00584CAA" w:rsidP="008B784D">
            <w:pPr>
              <w:pStyle w:val="CVNormal"/>
              <w:ind w:left="0"/>
              <w:jc w:val="center"/>
              <w:rPr>
                <w:rFonts w:ascii="Garamond" w:hAnsi="Garamond"/>
                <w:b/>
                <w:sz w:val="28"/>
                <w:szCs w:val="28"/>
                <w:lang w:val="en-GB"/>
              </w:rPr>
            </w:pPr>
          </w:p>
          <w:p w14:paraId="2120494D" w14:textId="590D484F" w:rsidR="00584CAA" w:rsidRPr="008B784D" w:rsidRDefault="00584CAA" w:rsidP="008B784D">
            <w:pPr>
              <w:pStyle w:val="CVNormal"/>
              <w:ind w:left="0"/>
              <w:jc w:val="center"/>
              <w:rPr>
                <w:rFonts w:ascii="Garamond" w:hAnsi="Garamond"/>
                <w:b/>
                <w:sz w:val="28"/>
                <w:szCs w:val="28"/>
                <w:lang w:val="en-GB"/>
              </w:rPr>
            </w:pPr>
          </w:p>
        </w:tc>
      </w:tr>
      <w:tr w:rsidR="00DC3BA7" w:rsidRPr="008C32EA" w14:paraId="3A004583" w14:textId="77777777" w:rsidTr="00653CB4">
        <w:trPr>
          <w:gridAfter w:val="1"/>
          <w:wAfter w:w="3217" w:type="dxa"/>
          <w:cantSplit/>
          <w:trHeight w:hRule="exact" w:val="555"/>
        </w:trPr>
        <w:tc>
          <w:tcPr>
            <w:tcW w:w="7901" w:type="dxa"/>
            <w:gridSpan w:val="3"/>
            <w:vMerge/>
          </w:tcPr>
          <w:p w14:paraId="5D26F134" w14:textId="77777777" w:rsidR="00DC3BA7" w:rsidRPr="008C32EA" w:rsidRDefault="00DC3BA7" w:rsidP="008B784D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46DC01C8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7778277" w14:textId="77777777" w:rsidR="00DC3BA7" w:rsidRPr="008C32EA" w:rsidRDefault="00DC3BA7" w:rsidP="003B5B52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7ED4DAD4" w14:textId="77777777" w:rsidR="00DC3BA7" w:rsidRPr="008C32EA" w:rsidRDefault="00DC3BA7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63F755F2" w14:textId="77777777" w:rsidTr="00653CB4">
        <w:trPr>
          <w:cantSplit/>
          <w:trHeight w:val="706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32D7E7C" w14:textId="77777777" w:rsidR="00DC3BA7" w:rsidRDefault="00DC3BA7" w:rsidP="00DC3BA7">
            <w:pPr>
              <w:pStyle w:val="CVHeading1"/>
              <w:spacing w:before="0"/>
              <w:rPr>
                <w:rFonts w:ascii="Garamond" w:hAnsi="Garamond"/>
                <w:szCs w:val="24"/>
                <w:lang w:val="en-GB"/>
              </w:rPr>
            </w:pPr>
            <w:r w:rsidRPr="008C32EA">
              <w:rPr>
                <w:rFonts w:ascii="Garamond" w:hAnsi="Garamond"/>
                <w:szCs w:val="24"/>
                <w:lang w:val="en-GB"/>
              </w:rPr>
              <w:t>Personal information</w:t>
            </w:r>
          </w:p>
          <w:p w14:paraId="634D60EF" w14:textId="77777777" w:rsidR="00584CAA" w:rsidRDefault="00584CAA" w:rsidP="00584CAA">
            <w:pPr>
              <w:rPr>
                <w:lang w:val="en-GB"/>
              </w:rPr>
            </w:pPr>
          </w:p>
          <w:p w14:paraId="013D3EC9" w14:textId="3F835439" w:rsidR="00584CAA" w:rsidRPr="00584CAA" w:rsidRDefault="00584CAA" w:rsidP="00584CAA">
            <w:pPr>
              <w:jc w:val="right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197F559" wp14:editId="0B7C6D8C">
                  <wp:extent cx="838200" cy="12668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  <w:gridSpan w:val="3"/>
          </w:tcPr>
          <w:p w14:paraId="259E526E" w14:textId="77777777" w:rsidR="00DC3BA7" w:rsidRPr="008C32EA" w:rsidRDefault="00DC3BA7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5CCFC49" w14:textId="77777777" w:rsidR="00DC3BA7" w:rsidRPr="008C32EA" w:rsidRDefault="00DC3BA7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74660B2C" w14:textId="77777777" w:rsidTr="00653CB4">
        <w:trPr>
          <w:cantSplit/>
          <w:trHeight w:val="725"/>
        </w:trPr>
        <w:tc>
          <w:tcPr>
            <w:tcW w:w="3217" w:type="dxa"/>
            <w:tcBorders>
              <w:right w:val="single" w:sz="1" w:space="0" w:color="000000"/>
            </w:tcBorders>
          </w:tcPr>
          <w:p w14:paraId="22A909C5" w14:textId="77777777" w:rsidR="00DC3BA7" w:rsidRPr="008C32EA" w:rsidRDefault="00531249" w:rsidP="00531249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Surname and First Name</w:t>
            </w:r>
          </w:p>
        </w:tc>
        <w:tc>
          <w:tcPr>
            <w:tcW w:w="7901" w:type="dxa"/>
            <w:gridSpan w:val="3"/>
          </w:tcPr>
          <w:p w14:paraId="49E890C6" w14:textId="77777777" w:rsidR="00DC3BA7" w:rsidRPr="008C32EA" w:rsidRDefault="00DC3BA7" w:rsidP="008B784D">
            <w:pPr>
              <w:pStyle w:val="CVMajor-FirstLine"/>
              <w:spacing w:before="0"/>
              <w:rPr>
                <w:rFonts w:ascii="Garamond" w:hAnsi="Garamond"/>
                <w:szCs w:val="24"/>
                <w:lang w:val="en-GB"/>
              </w:rPr>
            </w:pPr>
            <w:r w:rsidRPr="008C32EA">
              <w:rPr>
                <w:rFonts w:ascii="Garamond" w:hAnsi="Garamond"/>
                <w:szCs w:val="24"/>
                <w:lang w:val="en-GB"/>
              </w:rPr>
              <w:t xml:space="preserve">Verena </w:t>
            </w:r>
            <w:proofErr w:type="spellStart"/>
            <w:r w:rsidRPr="008C32EA">
              <w:rPr>
                <w:rFonts w:ascii="Garamond" w:hAnsi="Garamond"/>
                <w:szCs w:val="24"/>
                <w:lang w:val="en-GB"/>
              </w:rPr>
              <w:t>Rošic</w:t>
            </w:r>
            <w:proofErr w:type="spellEnd"/>
            <w:r w:rsidRPr="008C32EA">
              <w:rPr>
                <w:rFonts w:ascii="Garamond" w:hAnsi="Garamond"/>
                <w:szCs w:val="24"/>
                <w:lang w:val="en-GB"/>
              </w:rPr>
              <w:t xml:space="preserve"> </w:t>
            </w:r>
            <w:proofErr w:type="spellStart"/>
            <w:r w:rsidRPr="008C32EA">
              <w:rPr>
                <w:rFonts w:ascii="Garamond" w:hAnsi="Garamond"/>
                <w:szCs w:val="24"/>
                <w:lang w:val="en-GB"/>
              </w:rPr>
              <w:t>Feguš</w:t>
            </w:r>
            <w:proofErr w:type="spellEnd"/>
          </w:p>
          <w:p w14:paraId="7A06DD55" w14:textId="77777777" w:rsidR="00DC3BA7" w:rsidRPr="008C32EA" w:rsidRDefault="00DC3BA7" w:rsidP="008B784D">
            <w:pPr>
              <w:pStyle w:val="CVMajor"/>
              <w:rPr>
                <w:rFonts w:ascii="Garamond" w:hAnsi="Garamond"/>
                <w:szCs w:val="24"/>
                <w:lang w:val="en-GB"/>
              </w:rPr>
            </w:pPr>
          </w:p>
        </w:tc>
      </w:tr>
      <w:tr w:rsidR="00DC3BA7" w:rsidRPr="008C32EA" w14:paraId="1EC95990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9C79C96" w14:textId="77777777" w:rsidR="00DC3BA7" w:rsidRPr="008C32EA" w:rsidRDefault="00DC3BA7" w:rsidP="00DC3BA7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901" w:type="dxa"/>
            <w:gridSpan w:val="3"/>
          </w:tcPr>
          <w:p w14:paraId="49CED4DF" w14:textId="77777777" w:rsidR="00DC3BA7" w:rsidRPr="008C32EA" w:rsidRDefault="009E7508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</w:rPr>
              <w:t>Cankarjeva ulica 19</w:t>
            </w:r>
            <w:r w:rsidRPr="005C1259">
              <w:rPr>
                <w:rFonts w:ascii="Garamond" w:hAnsi="Garamond"/>
                <w:sz w:val="24"/>
                <w:szCs w:val="24"/>
              </w:rPr>
              <w:t>, 2000 Maribor, Slovenija,</w:t>
            </w:r>
          </w:p>
        </w:tc>
      </w:tr>
      <w:tr w:rsidR="00DC3BA7" w:rsidRPr="008C32EA" w14:paraId="542DD513" w14:textId="77777777" w:rsidTr="00653CB4">
        <w:trPr>
          <w:gridAfter w:val="2"/>
          <w:wAfter w:w="4977" w:type="dxa"/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2D7DA807" w14:textId="77777777" w:rsidR="00DC3BA7" w:rsidRPr="008C32EA" w:rsidRDefault="00DC3BA7" w:rsidP="003B5B52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2924" w:type="dxa"/>
          </w:tcPr>
          <w:p w14:paraId="48A3EFA8" w14:textId="77777777" w:rsidR="00DC3BA7" w:rsidRPr="008C32EA" w:rsidRDefault="00DC3BA7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041/ 834 614</w:t>
            </w:r>
          </w:p>
        </w:tc>
      </w:tr>
      <w:tr w:rsidR="00DC3BA7" w:rsidRPr="008C32EA" w14:paraId="0101A80F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D5419F5" w14:textId="77777777" w:rsidR="00DC3BA7" w:rsidRPr="008C32EA" w:rsidRDefault="00DC3BA7" w:rsidP="003B5B52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901" w:type="dxa"/>
            <w:gridSpan w:val="3"/>
          </w:tcPr>
          <w:p w14:paraId="1E74C6F7" w14:textId="77777777" w:rsidR="00DC3BA7" w:rsidRPr="008C32EA" w:rsidRDefault="00532EE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hyperlink r:id="rId9" w:history="1">
              <w:r w:rsidR="008C32EA" w:rsidRPr="00CA337D">
                <w:rPr>
                  <w:rStyle w:val="Hiperpovezava"/>
                  <w:rFonts w:ascii="Garamond" w:hAnsi="Garamond"/>
                  <w:sz w:val="24"/>
                  <w:szCs w:val="24"/>
                  <w:lang w:val="en-GB"/>
                </w:rPr>
                <w:t>verena.rosic@gmail.com</w:t>
              </w:r>
            </w:hyperlink>
          </w:p>
        </w:tc>
      </w:tr>
      <w:tr w:rsidR="00DC3BA7" w:rsidRPr="008C32EA" w14:paraId="4849D0CE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798EF03" w14:textId="77777777" w:rsidR="00DC3BA7" w:rsidRPr="008C32EA" w:rsidRDefault="00DC3BA7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01161C56" w14:textId="77777777" w:rsidR="00DC3BA7" w:rsidRPr="008C32EA" w:rsidRDefault="00DC3BA7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6B287B86" w14:textId="77777777" w:rsidTr="00653CB4">
        <w:trPr>
          <w:cantSplit/>
          <w:trHeight w:val="372"/>
        </w:trPr>
        <w:tc>
          <w:tcPr>
            <w:tcW w:w="3217" w:type="dxa"/>
            <w:tcBorders>
              <w:right w:val="single" w:sz="1" w:space="0" w:color="000000"/>
            </w:tcBorders>
          </w:tcPr>
          <w:p w14:paraId="52DC4634" w14:textId="77777777" w:rsidR="00DC3BA7" w:rsidRPr="008C32EA" w:rsidRDefault="00DC3BA7" w:rsidP="003B5B52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7901" w:type="dxa"/>
            <w:gridSpan w:val="3"/>
          </w:tcPr>
          <w:p w14:paraId="677E1640" w14:textId="77777777" w:rsidR="00DC3BA7" w:rsidRPr="008C32EA" w:rsidRDefault="00DC3BA7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Slovene</w:t>
            </w:r>
          </w:p>
        </w:tc>
      </w:tr>
      <w:tr w:rsidR="00DC3BA7" w:rsidRPr="008C32EA" w14:paraId="4C3260B5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B17C190" w14:textId="77777777" w:rsidR="00DC3BA7" w:rsidRPr="008C32EA" w:rsidRDefault="00DC3BA7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29696AC9" w14:textId="77777777" w:rsidR="00DC3BA7" w:rsidRPr="008C32EA" w:rsidRDefault="00DC3BA7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57702B21" w14:textId="77777777" w:rsidTr="00653CB4">
        <w:trPr>
          <w:cantSplit/>
          <w:trHeight w:val="372"/>
        </w:trPr>
        <w:tc>
          <w:tcPr>
            <w:tcW w:w="3217" w:type="dxa"/>
            <w:tcBorders>
              <w:right w:val="single" w:sz="1" w:space="0" w:color="000000"/>
            </w:tcBorders>
          </w:tcPr>
          <w:p w14:paraId="43B4E8BB" w14:textId="77777777" w:rsidR="00DC3BA7" w:rsidRPr="008C32EA" w:rsidRDefault="00DC3BA7" w:rsidP="00DC3BA7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Date </w:t>
            </w:r>
            <w:r w:rsidR="00CE6D88"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and place </w:t>
            </w: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of birth</w:t>
            </w:r>
          </w:p>
        </w:tc>
        <w:tc>
          <w:tcPr>
            <w:tcW w:w="7901" w:type="dxa"/>
            <w:gridSpan w:val="3"/>
          </w:tcPr>
          <w:p w14:paraId="0E5113C5" w14:textId="6B44EFAE" w:rsidR="00DC3BA7" w:rsidRPr="008C32EA" w:rsidRDefault="00DC3BA7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30</w:t>
            </w:r>
            <w:r w:rsidR="00584CAA">
              <w:rPr>
                <w:rFonts w:ascii="Garamond" w:hAnsi="Garamond"/>
                <w:sz w:val="24"/>
                <w:szCs w:val="24"/>
                <w:lang w:val="en-GB"/>
              </w:rPr>
              <w:t>/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10</w:t>
            </w:r>
            <w:r w:rsidR="00584CAA">
              <w:rPr>
                <w:rFonts w:ascii="Garamond" w:hAnsi="Garamond"/>
                <w:sz w:val="24"/>
                <w:szCs w:val="24"/>
                <w:lang w:val="en-GB"/>
              </w:rPr>
              <w:t>/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1985</w:t>
            </w:r>
            <w:r w:rsidR="00CE6D88" w:rsidRPr="008C32EA">
              <w:rPr>
                <w:rFonts w:ascii="Garamond" w:hAnsi="Garamond"/>
                <w:sz w:val="24"/>
                <w:szCs w:val="24"/>
                <w:lang w:val="en-GB"/>
              </w:rPr>
              <w:t>, Maribor</w:t>
            </w:r>
          </w:p>
        </w:tc>
      </w:tr>
      <w:tr w:rsidR="00DC3BA7" w:rsidRPr="008C32EA" w14:paraId="7995D1D2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5338488" w14:textId="77777777" w:rsidR="00DC3BA7" w:rsidRPr="008C32EA" w:rsidRDefault="00DC3BA7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24700C55" w14:textId="77777777" w:rsidR="00DC3BA7" w:rsidRPr="008C32EA" w:rsidRDefault="00DC3BA7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C3BA7" w:rsidRPr="008C32EA" w14:paraId="6188100C" w14:textId="77777777" w:rsidTr="00653CB4">
        <w:trPr>
          <w:cantSplit/>
          <w:trHeight w:val="372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39F674B" w14:textId="77777777" w:rsidR="00DC3BA7" w:rsidRPr="008C32EA" w:rsidRDefault="00DC3BA7" w:rsidP="003B5B52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7901" w:type="dxa"/>
            <w:gridSpan w:val="3"/>
          </w:tcPr>
          <w:p w14:paraId="154A616B" w14:textId="77777777" w:rsidR="00DC3BA7" w:rsidRPr="008C32EA" w:rsidRDefault="00CE6D88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F</w:t>
            </w:r>
            <w:r w:rsidR="00DC3BA7" w:rsidRPr="008C32EA">
              <w:rPr>
                <w:rFonts w:ascii="Garamond" w:hAnsi="Garamond"/>
                <w:sz w:val="24"/>
                <w:szCs w:val="24"/>
                <w:lang w:val="en-GB"/>
              </w:rPr>
              <w:t>emale</w:t>
            </w:r>
          </w:p>
        </w:tc>
      </w:tr>
      <w:tr w:rsidR="00DC3BA7" w:rsidRPr="008C32EA" w14:paraId="7DA89829" w14:textId="77777777" w:rsidTr="009E7508">
        <w:trPr>
          <w:cantSplit/>
          <w:trHeight w:val="40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043A9D4" w14:textId="77777777" w:rsidR="00584CAA" w:rsidRDefault="00584CAA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09F81785" w14:textId="7A160497" w:rsidR="00584CAA" w:rsidRDefault="00584CAA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POSITION</w:t>
            </w:r>
          </w:p>
          <w:p w14:paraId="516A3AB4" w14:textId="77777777" w:rsidR="00584CAA" w:rsidRDefault="00584CAA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3BDC95D2" w14:textId="0231F3FF" w:rsidR="00DC3BA7" w:rsidRDefault="009E7508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WORKING EXPERIENCES</w:t>
            </w:r>
          </w:p>
          <w:p w14:paraId="186C5DA0" w14:textId="77777777" w:rsidR="004F6F1D" w:rsidRPr="008C32EA" w:rsidRDefault="004F6F1D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580CDED0" w14:textId="77777777" w:rsidR="00DC3BA7" w:rsidRDefault="00DC3BA7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0508FC8" w14:textId="1F186698" w:rsidR="00584CAA" w:rsidRPr="008C32EA" w:rsidRDefault="00584CAA" w:rsidP="00584CAA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National reporter/Researcher</w:t>
            </w:r>
          </w:p>
        </w:tc>
      </w:tr>
      <w:tr w:rsidR="005857CB" w:rsidRPr="008C32EA" w14:paraId="08964164" w14:textId="77777777" w:rsidTr="009E7508">
        <w:trPr>
          <w:cantSplit/>
          <w:trHeight w:val="1700"/>
        </w:trPr>
        <w:tc>
          <w:tcPr>
            <w:tcW w:w="3217" w:type="dxa"/>
            <w:tcBorders>
              <w:right w:val="single" w:sz="1" w:space="0" w:color="000000"/>
            </w:tcBorders>
          </w:tcPr>
          <w:p w14:paraId="47E2590D" w14:textId="77777777" w:rsidR="005857CB" w:rsidRPr="008C32EA" w:rsidRDefault="005857CB" w:rsidP="009E7508">
            <w:pPr>
              <w:pStyle w:val="CVHeading3-FirstLine"/>
              <w:spacing w:before="0"/>
              <w:ind w:left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Time period</w:t>
            </w:r>
          </w:p>
        </w:tc>
        <w:tc>
          <w:tcPr>
            <w:tcW w:w="7901" w:type="dxa"/>
            <w:gridSpan w:val="3"/>
          </w:tcPr>
          <w:p w14:paraId="517F20D0" w14:textId="42DF9C35" w:rsidR="00DA236F" w:rsidRPr="00DA236F" w:rsidRDefault="009E7508" w:rsidP="008B784D">
            <w:pPr>
              <w:pStyle w:val="CVNormal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10. 12. 2018 – present: ASSISTANT PROFESSOR FOR EUROPEAN LAW </w:t>
            </w:r>
            <w:r w:rsidR="00584CA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and RESEARCHER </w:t>
            </w:r>
            <w:r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>AT EUROPEAN LAW FACULTY</w:t>
            </w:r>
            <w:r w:rsidR="00DA236F"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>, NEW UNIVERSITY</w:t>
            </w:r>
          </w:p>
          <w:p w14:paraId="151AA448" w14:textId="77777777" w:rsidR="00DA236F" w:rsidRPr="00DA236F" w:rsidRDefault="00DA236F" w:rsidP="008B784D">
            <w:pPr>
              <w:pStyle w:val="CVNormal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3A1D1408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23. 05. 2011 </w:t>
            </w:r>
            <w:r w:rsidR="009E7508"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>–</w:t>
            </w:r>
            <w:r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present</w:t>
            </w:r>
            <w:r w:rsidR="009E7508"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: </w:t>
            </w:r>
            <w:r w:rsidR="00DA236F" w:rsidRPr="00DA236F">
              <w:rPr>
                <w:rFonts w:ascii="Garamond" w:hAnsi="Garamond"/>
                <w:b/>
                <w:sz w:val="24"/>
                <w:szCs w:val="24"/>
                <w:lang w:val="en-GB"/>
              </w:rPr>
              <w:t>HIGER LEGAL ADVISER (DISTRICT COURT IN MARIBOR)</w:t>
            </w:r>
          </w:p>
        </w:tc>
      </w:tr>
      <w:tr w:rsidR="005857CB" w:rsidRPr="008C32EA" w14:paraId="0F940FA0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7573B93" w14:textId="77777777" w:rsidR="005857CB" w:rsidRPr="008C32EA" w:rsidRDefault="005857CB" w:rsidP="00BA40A6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Main activities and responsibilities</w:t>
            </w:r>
          </w:p>
        </w:tc>
        <w:tc>
          <w:tcPr>
            <w:tcW w:w="7901" w:type="dxa"/>
            <w:gridSpan w:val="3"/>
          </w:tcPr>
          <w:p w14:paraId="38952A41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preparation of court's judgments,</w:t>
            </w:r>
          </w:p>
          <w:p w14:paraId="4D82CDC3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proofErr w:type="gram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participation  at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the hearings and leading of the hearings (acting as a judge),</w:t>
            </w:r>
          </w:p>
          <w:p w14:paraId="2E1C9CFD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preparation of procedural and substantive decisions,</w:t>
            </w:r>
          </w:p>
          <w:p w14:paraId="1ABF6603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individual and independent decision making in matters where higher legal adviser has (in accordance with Civil Procedure Act) the competence to act independently,</w:t>
            </w:r>
          </w:p>
          <w:p w14:paraId="3BB93B3C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individual and independent exercise of serving of document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between MS of the EU (Regulation (ES) No. 13393/2007) and between other countries (international serving of documents), </w:t>
            </w:r>
          </w:p>
          <w:p w14:paraId="4C2244D6" w14:textId="77777777" w:rsidR="005857CB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hearing</w:t>
            </w:r>
            <w:r w:rsidR="00FC65A2">
              <w:rPr>
                <w:rFonts w:ascii="Garamond" w:hAnsi="Garamond"/>
                <w:sz w:val="24"/>
                <w:szCs w:val="24"/>
                <w:lang w:val="en-GB"/>
              </w:rPr>
              <w:t>s and examinations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of the parties and witnesses in matters requested by Courts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of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MS (Regulation (ES) No. 1206/2001) or by other National Court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(in accordance with Slovenian Civil Procedure Act),</w:t>
            </w:r>
          </w:p>
          <w:p w14:paraId="59B7AFFD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recognition of foreign judgements (Regulation Brussels I and II) and issue of European Enforcement Order (Regulation (EC) No. 805/2004) and European Payment Order (Regulation (EC) No. 1896/2006)</w:t>
            </w:r>
          </w:p>
          <w:p w14:paraId="76E76C7A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other decisions in relation to cooperation between the courts of MS </w:t>
            </w:r>
          </w:p>
          <w:p w14:paraId="27396FEB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supervision over authentication of documents,</w:t>
            </w:r>
          </w:p>
          <w:p w14:paraId="61875DEA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study of case law, study of case law o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f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the ECJ, literature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(in Slovene and E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nglish) and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study of 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courts' files;</w:t>
            </w:r>
          </w:p>
          <w:p w14:paraId="212AC828" w14:textId="77777777" w:rsidR="005857CB" w:rsidRPr="008C32EA" w:rsidRDefault="005857CB" w:rsidP="008B784D">
            <w:pPr>
              <w:pStyle w:val="CVNormal"/>
              <w:ind w:left="51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4D5A76" w14:textId="77777777" w:rsidR="005857CB" w:rsidRPr="008C32EA" w:rsidRDefault="005857CB" w:rsidP="008B784D">
            <w:pPr>
              <w:pStyle w:val="CVNormal"/>
              <w:ind w:left="87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610A6093" w14:textId="77777777" w:rsidTr="00653CB4">
        <w:trPr>
          <w:cantSplit/>
          <w:trHeight w:val="725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E282DCA" w14:textId="77777777" w:rsidR="005857CB" w:rsidRPr="008C32EA" w:rsidRDefault="005857CB" w:rsidP="003B5B52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Time Period</w:t>
            </w:r>
          </w:p>
          <w:p w14:paraId="26717A5C" w14:textId="77777777" w:rsidR="005857CB" w:rsidRPr="008C32EA" w:rsidRDefault="005857CB" w:rsidP="003B5B52">
            <w:pPr>
              <w:pStyle w:val="CVHeading3"/>
              <w:ind w:left="0"/>
              <w:jc w:val="left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6A6FE0A7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1.2.2009 – 31.1.2011, 7.4.2011 successfully passed the Bar exam with grades 9 and 10. </w:t>
            </w:r>
          </w:p>
        </w:tc>
      </w:tr>
      <w:tr w:rsidR="005857CB" w:rsidRPr="008C32EA" w14:paraId="048224ED" w14:textId="77777777" w:rsidTr="00653CB4">
        <w:trPr>
          <w:cantSplit/>
          <w:trHeight w:val="353"/>
        </w:trPr>
        <w:tc>
          <w:tcPr>
            <w:tcW w:w="3217" w:type="dxa"/>
            <w:tcBorders>
              <w:right w:val="single" w:sz="1" w:space="0" w:color="000000"/>
            </w:tcBorders>
          </w:tcPr>
          <w:p w14:paraId="6627D58C" w14:textId="77777777" w:rsidR="005857CB" w:rsidRPr="008C32EA" w:rsidRDefault="005857CB" w:rsidP="00384270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7901" w:type="dxa"/>
            <w:gridSpan w:val="3"/>
          </w:tcPr>
          <w:p w14:paraId="21383626" w14:textId="77777777" w:rsidR="005857CB" w:rsidRPr="008C32EA" w:rsidRDefault="005857CB" w:rsidP="008B784D">
            <w:pPr>
              <w:pStyle w:val="CVNormal"/>
              <w:ind w:left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 Legal Internship at Higher Court of Maribor</w:t>
            </w:r>
          </w:p>
        </w:tc>
      </w:tr>
      <w:tr w:rsidR="005857CB" w:rsidRPr="008C32EA" w14:paraId="09541390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FCF58C4" w14:textId="77777777" w:rsidR="005857CB" w:rsidRPr="008C32EA" w:rsidRDefault="005857CB" w:rsidP="003B5B52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Main activities and responsibilities</w:t>
            </w:r>
          </w:p>
        </w:tc>
        <w:tc>
          <w:tcPr>
            <w:tcW w:w="7901" w:type="dxa"/>
            <w:gridSpan w:val="3"/>
          </w:tcPr>
          <w:p w14:paraId="208D0151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participation at the hearings of District and Hig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h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er Court</w:t>
            </w:r>
          </w:p>
          <w:p w14:paraId="5C78370C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study of courts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’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files</w:t>
            </w:r>
          </w:p>
          <w:p w14:paraId="0AE4B129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study of case law and literature</w:t>
            </w:r>
          </w:p>
          <w:p w14:paraId="026D37A8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preparation of draft judgements and decisions, </w:t>
            </w:r>
          </w:p>
          <w:p w14:paraId="32FCDFA1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participation at educational seminars, </w:t>
            </w:r>
          </w:p>
          <w:p w14:paraId="2A1BF4CA" w14:textId="77777777" w:rsidR="005857CB" w:rsidRPr="008C32EA" w:rsidRDefault="005857CB" w:rsidP="008B784D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exercise of free legal aid. </w:t>
            </w:r>
          </w:p>
          <w:p w14:paraId="0D8AB6F0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98C897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3C532F5A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97F3275" w14:textId="77777777" w:rsidR="005857CB" w:rsidRPr="008C32EA" w:rsidRDefault="005857CB" w:rsidP="003B5B52">
            <w:pPr>
              <w:pStyle w:val="CVHeading1"/>
              <w:spacing w:before="0"/>
              <w:rPr>
                <w:rFonts w:ascii="Garamond" w:hAnsi="Garamond"/>
                <w:szCs w:val="24"/>
                <w:lang w:val="en-GB"/>
              </w:rPr>
            </w:pPr>
          </w:p>
          <w:p w14:paraId="1FBFA6B8" w14:textId="77777777" w:rsidR="005857CB" w:rsidRPr="008C32EA" w:rsidRDefault="005857CB" w:rsidP="00D27D27">
            <w:pPr>
              <w:pStyle w:val="CVHeading1"/>
              <w:spacing w:before="0"/>
              <w:rPr>
                <w:rFonts w:ascii="Garamond" w:hAnsi="Garamond"/>
                <w:szCs w:val="24"/>
                <w:lang w:val="en-GB"/>
              </w:rPr>
            </w:pPr>
            <w:r w:rsidRPr="008C32EA">
              <w:rPr>
                <w:rFonts w:ascii="Garamond" w:hAnsi="Garamond"/>
                <w:szCs w:val="24"/>
                <w:lang w:val="en-GB"/>
              </w:rPr>
              <w:t>Education and Training</w:t>
            </w:r>
          </w:p>
        </w:tc>
        <w:tc>
          <w:tcPr>
            <w:tcW w:w="7901" w:type="dxa"/>
            <w:gridSpan w:val="3"/>
          </w:tcPr>
          <w:p w14:paraId="166BB032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05985DB7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5E4C6A95" w14:textId="77777777" w:rsidR="005857CB" w:rsidRPr="008C32EA" w:rsidRDefault="005857CB" w:rsidP="008C32EA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34A1BCA2" w14:textId="77777777" w:rsidR="005857CB" w:rsidRPr="008C32EA" w:rsidRDefault="005857CB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BCE58E9" w14:textId="77777777" w:rsidR="005857CB" w:rsidRPr="008C32EA" w:rsidRDefault="005857CB" w:rsidP="008B784D">
            <w:pPr>
              <w:pStyle w:val="CVSpacer"/>
              <w:ind w:left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635B61D" w14:textId="77777777" w:rsidR="005857CB" w:rsidRPr="008C32EA" w:rsidRDefault="005857CB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7C87A5F8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414FED9A" w14:textId="77777777" w:rsidR="005857CB" w:rsidRPr="008C32EA" w:rsidRDefault="005857CB" w:rsidP="003B5B52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Time Period</w:t>
            </w:r>
          </w:p>
        </w:tc>
        <w:tc>
          <w:tcPr>
            <w:tcW w:w="7901" w:type="dxa"/>
            <w:gridSpan w:val="3"/>
          </w:tcPr>
          <w:p w14:paraId="325B08A9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2004-2008 University of Maribor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, Faculty of Law</w:t>
            </w:r>
          </w:p>
          <w:p w14:paraId="6967FB75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5269CF5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University degree in law, Programme: Law and Civil Law</w:t>
            </w:r>
          </w:p>
          <w:p w14:paraId="45603A98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7B4C006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Average grade of all exams in 4 years of study: 9,83. </w:t>
            </w:r>
          </w:p>
          <w:p w14:paraId="0C3761C0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16. 12. 2008: became a gradu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a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te of University of Law with the de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fenc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 of diploma thesis under title: »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C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ompulsory liquidation of company in case of cross-border transfer of seat as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a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breach of freedom of establishment under Article 43 EC«. Diploma thesis was graded 10, »cum laude«.  </w:t>
            </w:r>
          </w:p>
          <w:p w14:paraId="43ADC5BC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75C58F81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AF711C7" w14:textId="77777777" w:rsidR="005857CB" w:rsidRPr="008C32EA" w:rsidRDefault="005857CB" w:rsidP="00107F0F">
            <w:pPr>
              <w:pStyle w:val="CVHeading3"/>
              <w:ind w:left="0"/>
              <w:jc w:val="left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7371F4B4" w14:textId="77777777" w:rsidR="005857CB" w:rsidRPr="008C32EA" w:rsidRDefault="005857CB" w:rsidP="008B784D">
            <w:pPr>
              <w:pStyle w:val="CVNormal"/>
              <w:ind w:left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192E7FE3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71F3A48" w14:textId="77777777" w:rsidR="005857CB" w:rsidRPr="008C32EA" w:rsidRDefault="005857CB" w:rsidP="003B5B52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Time Period</w:t>
            </w:r>
          </w:p>
        </w:tc>
        <w:tc>
          <w:tcPr>
            <w:tcW w:w="7901" w:type="dxa"/>
            <w:gridSpan w:val="3"/>
          </w:tcPr>
          <w:p w14:paraId="440B9DB8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2007-2008 Kingston University Law School in London</w:t>
            </w:r>
          </w:p>
          <w:p w14:paraId="0CAE7337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In the scope of Erasmus </w:t>
            </w:r>
            <w:proofErr w:type="gram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Programme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she 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studied a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b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road for 1 year. At the Kingston University all exams</w:t>
            </w:r>
            <w:r w:rsidR="00FC65A2">
              <w:rPr>
                <w:rFonts w:ascii="Garamond" w:hAnsi="Garamond"/>
                <w:sz w:val="24"/>
                <w:szCs w:val="24"/>
                <w:lang w:val="en-GB"/>
              </w:rPr>
              <w:t xml:space="preserve"> (9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exams)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as l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aw student of last year of study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have been passed with grades A and B. </w:t>
            </w:r>
          </w:p>
          <w:p w14:paraId="1B86B084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62B8F13D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27ECE954" w14:textId="77777777" w:rsidR="005857CB" w:rsidRPr="008C32EA" w:rsidRDefault="005857CB" w:rsidP="00107F0F">
            <w:pPr>
              <w:pStyle w:val="CVHeading3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                                                  Time Period</w:t>
            </w:r>
          </w:p>
        </w:tc>
        <w:tc>
          <w:tcPr>
            <w:tcW w:w="7901" w:type="dxa"/>
            <w:gridSpan w:val="3"/>
          </w:tcPr>
          <w:p w14:paraId="46C00864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00ECC1A" w14:textId="77777777" w:rsidR="005857CB" w:rsidRPr="008C32EA" w:rsidRDefault="005857CB" w:rsidP="008B784D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8B784D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2000-2004</w:t>
            </w:r>
          </w:p>
        </w:tc>
      </w:tr>
      <w:tr w:rsidR="005857CB" w:rsidRPr="008C32EA" w14:paraId="4A784A9A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6C0B8B4C" w14:textId="77777777" w:rsidR="005857CB" w:rsidRPr="008C32EA" w:rsidRDefault="005857CB" w:rsidP="003B5B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1EBD028" w14:textId="77777777" w:rsidR="005857CB" w:rsidRPr="008C32EA" w:rsidRDefault="005857CB" w:rsidP="003B5B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1E9D5797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High School in Maribor, programme: Cla</w:t>
            </w:r>
            <w:r w:rsidR="00FC65A2"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sical High School Programme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(with Latin, Ancient Greek, H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istory and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History of A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rt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)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.</w:t>
            </w:r>
          </w:p>
          <w:p w14:paraId="0051500A" w14:textId="083A399B" w:rsidR="005857CB" w:rsidRPr="008C32EA" w:rsidRDefault="005857CB" w:rsidP="00A11D76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All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matura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exams finished with excellence.  </w:t>
            </w:r>
          </w:p>
        </w:tc>
      </w:tr>
      <w:tr w:rsidR="005857CB" w:rsidRPr="008C32EA" w14:paraId="18EE64D5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3D2CDEB" w14:textId="77777777" w:rsidR="005857CB" w:rsidRPr="008C32EA" w:rsidRDefault="005857CB" w:rsidP="00E31684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Time Period</w:t>
            </w:r>
          </w:p>
        </w:tc>
        <w:tc>
          <w:tcPr>
            <w:tcW w:w="7901" w:type="dxa"/>
            <w:gridSpan w:val="3"/>
          </w:tcPr>
          <w:p w14:paraId="4932554F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2009 – </w:t>
            </w:r>
            <w:r w:rsidR="00DA236F">
              <w:rPr>
                <w:rFonts w:ascii="Garamond" w:hAnsi="Garamond"/>
                <w:sz w:val="24"/>
                <w:szCs w:val="24"/>
                <w:lang w:val="en-GB"/>
              </w:rPr>
              <w:t>2015</w:t>
            </w:r>
          </w:p>
          <w:p w14:paraId="2AFFA698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University of Maribor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Faculty of Law</w:t>
            </w:r>
          </w:p>
          <w:p w14:paraId="2CA6E877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Bologna III </w:t>
            </w:r>
            <w:proofErr w:type="gram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programme  »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Law«: three years PhD programme (doctorate of science)</w:t>
            </w:r>
          </w:p>
          <w:p w14:paraId="1A30EF81" w14:textId="77777777" w:rsidR="005857CB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All assignments and exams for 1st, 2nd and 3rd year of study passed. Average grade: 10,0. </w:t>
            </w:r>
          </w:p>
          <w:p w14:paraId="6260EC45" w14:textId="77777777" w:rsidR="00DA236F" w:rsidRDefault="00DA236F" w:rsidP="00DA236F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B550D0D" w14:textId="77777777" w:rsidR="00DA236F" w:rsidRDefault="00DA236F" w:rsidP="00DA236F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On 28th September 2015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has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sucessfully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defended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doctoral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dissertation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relating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Soft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EU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tittle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Soft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European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Union, </w:t>
            </w:r>
            <w:r w:rsidRPr="00DA236F">
              <w:rPr>
                <w:rFonts w:ascii="Garamond" w:hAnsi="Garamond"/>
                <w:sz w:val="24"/>
                <w:szCs w:val="24"/>
              </w:rPr>
              <w:t xml:space="preserve">(Legal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Institutional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Aspects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Use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Soft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Existence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Hybrid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 xml:space="preserve"> Legal </w:t>
            </w:r>
            <w:proofErr w:type="spellStart"/>
            <w:r w:rsidRPr="00DA236F">
              <w:rPr>
                <w:rFonts w:ascii="Garamond" w:hAnsi="Garamond"/>
                <w:sz w:val="24"/>
                <w:szCs w:val="24"/>
              </w:rPr>
              <w:t>Fields</w:t>
            </w:r>
            <w:proofErr w:type="spellEnd"/>
            <w:r w:rsidRPr="00DA236F">
              <w:rPr>
                <w:rFonts w:ascii="Garamond" w:hAnsi="Garamond"/>
                <w:sz w:val="24"/>
                <w:szCs w:val="24"/>
              </w:rPr>
              <w:t>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obtained</w:t>
            </w:r>
            <w:proofErr w:type="spellEnd"/>
            <w:r w:rsidR="004F6F1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F6F1D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title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Doctor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Legal Science. 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8E27A79" w14:textId="77777777" w:rsidR="005857CB" w:rsidRPr="008C32EA" w:rsidRDefault="005857CB" w:rsidP="00B87D0B">
            <w:pPr>
              <w:pStyle w:val="CVNormal"/>
              <w:ind w:left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3814A20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She specialises in EU law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B87D0B">
              <w:rPr>
                <w:rFonts w:ascii="Garamond" w:hAnsi="Garamond"/>
                <w:sz w:val="24"/>
                <w:szCs w:val="24"/>
                <w:lang w:val="en-GB"/>
              </w:rPr>
              <w:t xml:space="preserve">and is an assistant professor at the European Law Faculty, New University. </w:t>
            </w:r>
          </w:p>
          <w:p w14:paraId="0205831F" w14:textId="77777777" w:rsidR="00B87D0B" w:rsidRDefault="00B87D0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883F968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She has actively participated in numerous EU project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(Posting of Workers, Scientific Visa, Product Liability Project, LEGALP) and is co-author of articles in EU publications: </w:t>
            </w:r>
          </w:p>
          <w:p w14:paraId="6A03C6A6" w14:textId="77777777" w:rsidR="005857CB" w:rsidRPr="008C32EA" w:rsidRDefault="005857CB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Esplugues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Mota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C., 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Iglesias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Buhigues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J.L.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Pala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o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Moreno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G.(ed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.); Application of foreign law, 2011, </w:t>
            </w:r>
            <w:proofErr w:type="gram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München :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Sellier.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european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law publishers, cop. 2011,</w:t>
            </w:r>
          </w:p>
          <w:p w14:paraId="2DE8C42B" w14:textId="77777777" w:rsidR="005857CB" w:rsidRPr="008C32EA" w:rsidRDefault="005857CB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Fernández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D.P. (ed.)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; Consumer protection in international private relationships /La protection des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consommateurs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dans les relations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privées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internationales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, 2010, </w:t>
            </w:r>
            <w:proofErr w:type="gram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Asunción :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CEDEP, 2010,</w:t>
            </w:r>
          </w:p>
          <w:p w14:paraId="55BA74BF" w14:textId="77777777" w:rsidR="005857CB" w:rsidRPr="008C32EA" w:rsidRDefault="005857CB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J.H.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Jans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, R.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Macrory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&amp; A.-M. Moreno Molina, National Courts and EU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Enivornmental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Law, Europa law Publishing, The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Avtosetta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Series, Groningen 2013; </w:t>
            </w:r>
          </w:p>
          <w:p w14:paraId="6D1D9608" w14:textId="77777777" w:rsidR="005857CB" w:rsidRPr="008C32EA" w:rsidRDefault="005857CB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Working paper Nr. 2: Verena Rosic &amp;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Rajko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Knez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– Application of the Env</w:t>
            </w:r>
            <w:r w:rsidR="00FC65A2">
              <w:rPr>
                <w:rFonts w:ascii="Garamond" w:hAnsi="Garamond"/>
                <w:sz w:val="24"/>
                <w:szCs w:val="24"/>
                <w:lang w:val="en-GB"/>
              </w:rPr>
              <w:t>ironmental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Law in Slovene jurisprudence, University of Maribor, Jean Monnet Centre of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Exellence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;</w:t>
            </w:r>
          </w:p>
          <w:p w14:paraId="23119829" w14:textId="77777777" w:rsidR="005857CB" w:rsidRPr="008C32EA" w:rsidRDefault="00FC65A2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In D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ecember 2011 she published an article in one of the most important Legal Journals in Slovenia </w:t>
            </w:r>
            <w:proofErr w:type="spellStart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Po</w:t>
            </w:r>
            <w:r w:rsidR="005857CB">
              <w:rPr>
                <w:rFonts w:ascii="Garamond" w:hAnsi="Garamond"/>
                <w:sz w:val="24"/>
                <w:szCs w:val="24"/>
                <w:lang w:val="en-GB"/>
              </w:rPr>
              <w:t>d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jetje</w:t>
            </w:r>
            <w:proofErr w:type="spellEnd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delo</w:t>
            </w:r>
            <w:proofErr w:type="spellEnd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(Law and Business) with title: »</w:t>
            </w:r>
            <w:r w:rsidR="005857CB">
              <w:rPr>
                <w:rFonts w:ascii="Garamond" w:hAnsi="Garamond"/>
                <w:sz w:val="24"/>
                <w:szCs w:val="24"/>
                <w:lang w:val="en-GB"/>
              </w:rPr>
              <w:t>Criteria of Principle of P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roportionality in Constitutional Practice of the Constitutional Court of the Republic of Slovenia and Case Law of the</w:t>
            </w:r>
            <w:r w:rsidR="005857CB">
              <w:rPr>
                <w:rFonts w:ascii="Garamond" w:hAnsi="Garamond"/>
                <w:sz w:val="24"/>
                <w:szCs w:val="24"/>
                <w:lang w:val="en-GB"/>
              </w:rPr>
              <w:t xml:space="preserve"> ECJ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Podjetje</w:t>
            </w:r>
            <w:proofErr w:type="spellEnd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delo</w:t>
            </w:r>
            <w:proofErr w:type="spellEnd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, No. 8, </w:t>
            </w:r>
            <w:proofErr w:type="spellStart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december</w:t>
            </w:r>
            <w:proofErr w:type="spellEnd"/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2011, pp. 1752-1769), </w:t>
            </w:r>
          </w:p>
          <w:p w14:paraId="75071C0E" w14:textId="77777777" w:rsidR="005857CB" w:rsidRDefault="008B784D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In Feb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r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u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ary 2014 she ha</w:t>
            </w:r>
            <w:r w:rsidR="005857CB">
              <w:rPr>
                <w:rFonts w:ascii="Garamond" w:hAnsi="Garamond"/>
                <w:sz w:val="24"/>
                <w:szCs w:val="24"/>
                <w:lang w:val="en-GB"/>
              </w:rPr>
              <w:t>s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also taken part as a lecturer at the 1st International Conference </w:t>
            </w:r>
            <w:r w:rsidR="004F6F1D">
              <w:rPr>
                <w:rFonts w:ascii="Garamond" w:hAnsi="Garamond"/>
                <w:sz w:val="24"/>
                <w:szCs w:val="24"/>
                <w:lang w:val="en-GB"/>
              </w:rPr>
              <w:t>“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>Legal Reform and EU Enlargement - Transfer of Experiences</w:t>
            </w:r>
            <w:r w:rsidR="004F6F1D">
              <w:rPr>
                <w:rFonts w:ascii="Garamond" w:hAnsi="Garamond"/>
                <w:sz w:val="24"/>
                <w:szCs w:val="24"/>
                <w:lang w:val="en-GB"/>
              </w:rPr>
              <w:t>.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" In accordance with this she also published an article »The Growing Importance of Soft Law in the EU« </w:t>
            </w:r>
          </w:p>
          <w:p w14:paraId="2CCC4A03" w14:textId="46BCFDA3" w:rsidR="004F6F1D" w:rsidRDefault="004F6F1D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In 2016 she published a monography The Hybridity of Legal Regulation in the European Union (Legal and Institutional Aspects of Use of Soft Law and the Existence of Hybrid Legal Fields)</w:t>
            </w:r>
          </w:p>
          <w:p w14:paraId="5B5B3A18" w14:textId="7F75D427" w:rsidR="00A92640" w:rsidRPr="008C32EA" w:rsidRDefault="00A92640" w:rsidP="008B784D">
            <w:pPr>
              <w:pStyle w:val="CVNormal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She continues to work at EU projects as National Reporter (Researcher), for example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n-GB"/>
              </w:rPr>
              <w:t>SoLaR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 project (2018-2019) and API project (2019). </w:t>
            </w:r>
          </w:p>
          <w:p w14:paraId="3440118F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060B1C3E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C9EF69B" w14:textId="77777777" w:rsidR="005857CB" w:rsidRPr="008C32EA" w:rsidRDefault="005857CB" w:rsidP="003B5B52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Personal Skills</w:t>
            </w:r>
          </w:p>
          <w:p w14:paraId="496746C4" w14:textId="77777777" w:rsidR="005857CB" w:rsidRPr="008C32EA" w:rsidRDefault="005857CB" w:rsidP="003B5B52">
            <w:pPr>
              <w:pStyle w:val="CVHeading2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A12985C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566BBC04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E18C0F0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6AEAF13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467F375B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197B7487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30322A0C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0F83E162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516A29F8" w14:textId="77777777" w:rsidR="005857CB" w:rsidRPr="008C32EA" w:rsidRDefault="005857CB" w:rsidP="003B5B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0D8DFDD" w14:textId="77777777" w:rsidR="005857CB" w:rsidRPr="008C32EA" w:rsidRDefault="005857CB" w:rsidP="003B5B52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Communication and Managerial Skills</w:t>
            </w:r>
          </w:p>
        </w:tc>
        <w:tc>
          <w:tcPr>
            <w:tcW w:w="7901" w:type="dxa"/>
            <w:gridSpan w:val="3"/>
          </w:tcPr>
          <w:p w14:paraId="4B111A25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u w:val="single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u w:val="single"/>
                <w:lang w:val="en-GB"/>
              </w:rPr>
              <w:t xml:space="preserve">Mother Language: </w:t>
            </w:r>
          </w:p>
          <w:p w14:paraId="6A24D6D4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252779B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Slovenian</w:t>
            </w:r>
          </w:p>
          <w:p w14:paraId="50C3410F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DA3CECA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u w:val="single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u w:val="single"/>
                <w:lang w:val="en-GB"/>
              </w:rPr>
              <w:t xml:space="preserve">Foreign </w:t>
            </w:r>
            <w:proofErr w:type="gramStart"/>
            <w:r w:rsidRPr="008C32EA">
              <w:rPr>
                <w:rFonts w:ascii="Garamond" w:hAnsi="Garamond"/>
                <w:sz w:val="24"/>
                <w:szCs w:val="24"/>
                <w:u w:val="single"/>
                <w:lang w:val="en-GB"/>
              </w:rPr>
              <w:t>Language :</w:t>
            </w:r>
            <w:proofErr w:type="gramEnd"/>
            <w:r w:rsidRPr="008C32EA">
              <w:rPr>
                <w:rFonts w:ascii="Garamond" w:hAnsi="Garamond"/>
                <w:sz w:val="24"/>
                <w:szCs w:val="24"/>
                <w:u w:val="single"/>
                <w:lang w:val="en-GB"/>
              </w:rPr>
              <w:t xml:space="preserve"> </w:t>
            </w:r>
          </w:p>
          <w:p w14:paraId="4040FC44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81A914D" w14:textId="4C1FB898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She actively talks, writes articles and lectures in English language (level: </w:t>
            </w:r>
            <w:r w:rsidR="002B677B">
              <w:rPr>
                <w:rFonts w:ascii="Garamond" w:hAnsi="Garamond"/>
                <w:sz w:val="24"/>
                <w:szCs w:val="24"/>
                <w:lang w:val="en-GB"/>
              </w:rPr>
              <w:t>C1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). In the time of her st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udies sh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e has also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worked as a translator from English to S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lovene and vice versa at company </w:t>
            </w:r>
            <w:proofErr w:type="spellStart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Comtron</w:t>
            </w:r>
            <w:proofErr w:type="spellEnd"/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d.o.o. from Maribor.  </w:t>
            </w:r>
          </w:p>
          <w:p w14:paraId="4E44ED38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54D6AAA" w14:textId="77777777" w:rsidR="005857CB" w:rsidRPr="008C32EA" w:rsidRDefault="008B784D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She</w:t>
            </w:r>
            <w:r w:rsidR="005857CB"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understands German, French, Croatian Language. </w:t>
            </w:r>
          </w:p>
          <w:p w14:paraId="4601D61F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803F59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Reliable, precise, hardworking, organised, capable of working in a team, communicative and able to accommodate to different situations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.</w:t>
            </w: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</w:p>
        </w:tc>
      </w:tr>
      <w:tr w:rsidR="005857CB" w:rsidRPr="008C32EA" w14:paraId="07B4E426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3472101" w14:textId="77777777" w:rsidR="005857CB" w:rsidRPr="008C32EA" w:rsidRDefault="005857CB" w:rsidP="003B5B52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0ACA2332" w14:textId="77777777" w:rsidR="005857CB" w:rsidRPr="008C32EA" w:rsidRDefault="005857CB" w:rsidP="008B784D">
            <w:pPr>
              <w:pStyle w:val="CVSpacer"/>
              <w:ind w:left="0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7BBF1AA2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41A13502" w14:textId="77777777" w:rsidR="005857CB" w:rsidRPr="008C32EA" w:rsidRDefault="005857CB" w:rsidP="003B5B52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Computer Skills</w:t>
            </w:r>
          </w:p>
        </w:tc>
        <w:tc>
          <w:tcPr>
            <w:tcW w:w="7901" w:type="dxa"/>
            <w:gridSpan w:val="3"/>
          </w:tcPr>
          <w:p w14:paraId="607B7833" w14:textId="77777777" w:rsidR="005857CB" w:rsidRPr="008C32EA" w:rsidRDefault="005857CB" w:rsidP="008B784D">
            <w:pPr>
              <w:pStyle w:val="CVNormal-FirstLine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 xml:space="preserve">MS Windows, Word, Excel, Office, webpages, e-mail and other computer programmes. </w:t>
            </w:r>
          </w:p>
        </w:tc>
      </w:tr>
      <w:tr w:rsidR="005857CB" w:rsidRPr="008C32EA" w14:paraId="1DDCD6F1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6D6DBE72" w14:textId="77777777" w:rsidR="005857CB" w:rsidRPr="008C32EA" w:rsidRDefault="005857CB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26301686" w14:textId="77777777" w:rsidR="005857CB" w:rsidRPr="008C32EA" w:rsidRDefault="005857CB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7C0A87CC" w14:textId="77777777" w:rsidTr="00653CB4">
        <w:trPr>
          <w:cantSplit/>
          <w:trHeight w:val="216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C2EA13C" w14:textId="77777777" w:rsidR="005857CB" w:rsidRPr="008C32EA" w:rsidRDefault="005857CB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63EC51C9" w14:textId="77777777" w:rsidR="005857CB" w:rsidRPr="008C32EA" w:rsidRDefault="005857CB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06307F5B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3B08A002" w14:textId="77777777" w:rsidR="005857CB" w:rsidRPr="008C32EA" w:rsidRDefault="005857CB" w:rsidP="003B5B52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Other skills</w:t>
            </w:r>
          </w:p>
        </w:tc>
        <w:tc>
          <w:tcPr>
            <w:tcW w:w="7901" w:type="dxa"/>
            <w:gridSpan w:val="3"/>
          </w:tcPr>
          <w:p w14:paraId="54EF5327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Exam form General Administrative Procedure (2009)</w:t>
            </w:r>
          </w:p>
          <w:p w14:paraId="7C55E49E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6FA3176A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D928693" w14:textId="77777777" w:rsidR="005857CB" w:rsidRPr="008C32EA" w:rsidRDefault="005857CB" w:rsidP="003B5B52">
            <w:pPr>
              <w:pStyle w:val="CVSpac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494177F0" w14:textId="77777777" w:rsidR="005857CB" w:rsidRPr="008C32EA" w:rsidRDefault="005857CB" w:rsidP="008B784D">
            <w:pPr>
              <w:pStyle w:val="CVSpacer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5E487EED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5EC6268E" w14:textId="77777777" w:rsidR="005857CB" w:rsidRPr="008C32EA" w:rsidRDefault="005857CB" w:rsidP="00415D54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b/>
                <w:sz w:val="24"/>
                <w:szCs w:val="24"/>
                <w:lang w:val="en-GB"/>
              </w:rPr>
              <w:t>Driving Licence</w:t>
            </w:r>
          </w:p>
        </w:tc>
        <w:tc>
          <w:tcPr>
            <w:tcW w:w="7901" w:type="dxa"/>
            <w:gridSpan w:val="3"/>
          </w:tcPr>
          <w:p w14:paraId="72C208E6" w14:textId="77777777" w:rsidR="005857CB" w:rsidRPr="008C32EA" w:rsidRDefault="005857CB" w:rsidP="008B784D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lang w:val="en-GB"/>
              </w:rPr>
            </w:pPr>
            <w:r w:rsidRPr="008C32EA">
              <w:rPr>
                <w:rFonts w:ascii="Garamond" w:hAnsi="Garamond"/>
                <w:sz w:val="24"/>
                <w:szCs w:val="24"/>
                <w:lang w:val="en-GB"/>
              </w:rPr>
              <w:t>B category</w:t>
            </w:r>
          </w:p>
          <w:p w14:paraId="18DC4E4D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6B4A56E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B3B5569" w14:textId="77777777" w:rsidR="005857CB" w:rsidRPr="008C32EA" w:rsidRDefault="005857CB" w:rsidP="008B784D">
            <w:pPr>
              <w:pStyle w:val="CVNormal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857CB" w:rsidRPr="008C32EA" w14:paraId="78200DE7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1E3A2596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37C0BD04" w14:textId="77777777" w:rsidR="005857CB" w:rsidRPr="008C32EA" w:rsidRDefault="005857CB" w:rsidP="008B784D">
            <w:pPr>
              <w:pStyle w:val="CVSpacer"/>
              <w:rPr>
                <w:rFonts w:ascii="Palatino Linotype" w:hAnsi="Palatino Linotype"/>
                <w:lang w:val="en-GB"/>
              </w:rPr>
            </w:pPr>
          </w:p>
        </w:tc>
      </w:tr>
      <w:tr w:rsidR="005857CB" w:rsidRPr="008C32EA" w14:paraId="23CCB62D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00C253C1" w14:textId="77777777" w:rsidR="005857CB" w:rsidRPr="008C32EA" w:rsidRDefault="005857CB" w:rsidP="003B5B52">
            <w:pPr>
              <w:pStyle w:val="CVHeading1"/>
              <w:spacing w:before="0"/>
              <w:rPr>
                <w:rFonts w:ascii="Palatino Linotype" w:hAnsi="Palatino Linotype"/>
                <w:lang w:val="en-GB"/>
              </w:rPr>
            </w:pPr>
            <w:r w:rsidRPr="008C32EA">
              <w:rPr>
                <w:rFonts w:ascii="Palatino Linotype" w:hAnsi="Palatino Linotype"/>
                <w:lang w:val="en-GB"/>
              </w:rPr>
              <w:t>Additional information</w:t>
            </w:r>
          </w:p>
        </w:tc>
        <w:tc>
          <w:tcPr>
            <w:tcW w:w="7901" w:type="dxa"/>
            <w:gridSpan w:val="3"/>
          </w:tcPr>
          <w:p w14:paraId="3A13B7E7" w14:textId="77777777" w:rsidR="005857CB" w:rsidRPr="008C32EA" w:rsidRDefault="005857CB" w:rsidP="008B784D">
            <w:pPr>
              <w:pStyle w:val="CVNormal-FirstLine"/>
              <w:spacing w:before="0"/>
              <w:ind w:left="0"/>
              <w:rPr>
                <w:rFonts w:ascii="Palatino Linotype" w:hAnsi="Palatino Linotype"/>
                <w:lang w:val="en-GB"/>
              </w:rPr>
            </w:pPr>
          </w:p>
          <w:p w14:paraId="2182F9E1" w14:textId="77777777" w:rsidR="005857CB" w:rsidRPr="008B784D" w:rsidRDefault="005857CB" w:rsidP="008B784D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23.10.2009 she </w:t>
            </w:r>
            <w:proofErr w:type="gramStart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>gain</w:t>
            </w:r>
            <w:proofErr w:type="gramEnd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 the first prize </w:t>
            </w:r>
            <w:proofErr w:type="spellStart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>Grawe</w:t>
            </w:r>
            <w:proofErr w:type="spellEnd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 Excellence Award as the best graduate in generation;</w:t>
            </w:r>
          </w:p>
          <w:p w14:paraId="38B8ED54" w14:textId="77777777" w:rsidR="005857CB" w:rsidRPr="008B784D" w:rsidRDefault="005857CB" w:rsidP="008B784D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she participated in many national and international conferences, </w:t>
            </w:r>
          </w:p>
          <w:p w14:paraId="29757906" w14:textId="77777777" w:rsidR="005857CB" w:rsidRDefault="005857CB" w:rsidP="008B784D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as a team member she participated at Willem C. Vis International Commercial Arbitration Moot (Vienna) and </w:t>
            </w:r>
            <w:proofErr w:type="gramStart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>European  Law</w:t>
            </w:r>
            <w:proofErr w:type="gramEnd"/>
            <w:r w:rsidRPr="008B784D">
              <w:rPr>
                <w:rFonts w:ascii="Garamond" w:hAnsi="Garamond"/>
                <w:sz w:val="24"/>
                <w:szCs w:val="24"/>
                <w:lang w:val="en-GB"/>
              </w:rPr>
              <w:t xml:space="preserve"> Moot Court Competition.</w:t>
            </w:r>
          </w:p>
          <w:p w14:paraId="1AB095ED" w14:textId="77777777" w:rsidR="00B87D0B" w:rsidRPr="004F6F1D" w:rsidRDefault="004F6F1D" w:rsidP="008B784D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F6F1D">
              <w:rPr>
                <w:rFonts w:ascii="Garamond" w:hAnsi="Garamond"/>
                <w:sz w:val="24"/>
                <w:szCs w:val="24"/>
                <w:lang w:val="en-GB"/>
              </w:rPr>
              <w:t>Award “Young Lawyer of the Year” in 2017</w:t>
            </w:r>
          </w:p>
          <w:p w14:paraId="0374682A" w14:textId="77777777" w:rsidR="005857CB" w:rsidRPr="008C32EA" w:rsidRDefault="005857CB" w:rsidP="008B784D">
            <w:pPr>
              <w:pStyle w:val="CVNormal"/>
              <w:rPr>
                <w:rFonts w:ascii="Palatino Linotype" w:hAnsi="Palatino Linotype"/>
                <w:lang w:val="en-GB"/>
              </w:rPr>
            </w:pPr>
          </w:p>
        </w:tc>
      </w:tr>
      <w:tr w:rsidR="005857CB" w:rsidRPr="008C32EA" w14:paraId="4882C076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F75A88C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5FCFF8A5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lang w:val="en-GB"/>
              </w:rPr>
            </w:pPr>
          </w:p>
        </w:tc>
      </w:tr>
      <w:tr w:rsidR="005857CB" w:rsidRPr="008C32EA" w14:paraId="5B0D4E78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5B1E45A2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33623EBB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lang w:val="en-GB"/>
              </w:rPr>
            </w:pPr>
          </w:p>
        </w:tc>
      </w:tr>
      <w:tr w:rsidR="005857CB" w:rsidRPr="008C32EA" w14:paraId="3D6F7968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288836D3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0CABFF58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lang w:val="en-GB"/>
              </w:rPr>
            </w:pPr>
          </w:p>
        </w:tc>
      </w:tr>
      <w:tr w:rsidR="005857CB" w:rsidRPr="008C32EA" w14:paraId="147B68A0" w14:textId="77777777" w:rsidTr="00653CB4">
        <w:trPr>
          <w:cantSplit/>
          <w:trHeight w:val="188"/>
        </w:trPr>
        <w:tc>
          <w:tcPr>
            <w:tcW w:w="3217" w:type="dxa"/>
            <w:tcBorders>
              <w:right w:val="single" w:sz="1" w:space="0" w:color="000000"/>
            </w:tcBorders>
          </w:tcPr>
          <w:p w14:paraId="78916B96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b/>
                <w:lang w:val="en-GB"/>
              </w:rPr>
            </w:pPr>
          </w:p>
        </w:tc>
        <w:tc>
          <w:tcPr>
            <w:tcW w:w="7901" w:type="dxa"/>
            <w:gridSpan w:val="3"/>
          </w:tcPr>
          <w:p w14:paraId="7DD94D67" w14:textId="77777777" w:rsidR="005857CB" w:rsidRPr="008C32EA" w:rsidRDefault="005857CB" w:rsidP="003B5B52">
            <w:pPr>
              <w:pStyle w:val="CVSpacer"/>
              <w:rPr>
                <w:rFonts w:ascii="Palatino Linotype" w:hAnsi="Palatino Linotype"/>
                <w:lang w:val="en-GB"/>
              </w:rPr>
            </w:pPr>
          </w:p>
        </w:tc>
      </w:tr>
    </w:tbl>
    <w:p w14:paraId="5D696D82" w14:textId="77777777" w:rsidR="00DC3BA7" w:rsidRPr="008C32EA" w:rsidRDefault="00DC3BA7" w:rsidP="00DC3BA7">
      <w:pPr>
        <w:pStyle w:val="CVNormal"/>
        <w:rPr>
          <w:rFonts w:ascii="Palatino Linotype" w:hAnsi="Palatino Linotype"/>
          <w:lang w:val="en-GB"/>
        </w:rPr>
      </w:pPr>
    </w:p>
    <w:p w14:paraId="309AF496" w14:textId="77777777" w:rsidR="00F73F4C" w:rsidRPr="008C32EA" w:rsidRDefault="00F73F4C" w:rsidP="00550F98">
      <w:pPr>
        <w:spacing w:after="240"/>
        <w:rPr>
          <w:lang w:val="en-GB"/>
        </w:rPr>
      </w:pPr>
    </w:p>
    <w:sectPr w:rsidR="00F73F4C" w:rsidRPr="008C32EA" w:rsidSect="002F2BA0">
      <w:headerReference w:type="default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20BB" w14:textId="77777777" w:rsidR="00532EEB" w:rsidRDefault="00532EEB" w:rsidP="003566A0">
      <w:r>
        <w:separator/>
      </w:r>
    </w:p>
  </w:endnote>
  <w:endnote w:type="continuationSeparator" w:id="0">
    <w:p w14:paraId="6E800E7E" w14:textId="77777777" w:rsidR="00532EEB" w:rsidRDefault="00532EEB" w:rsidP="003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D828" w14:textId="6A08D2ED" w:rsidR="003666D0" w:rsidRDefault="00B87D0B" w:rsidP="00A11D76">
    <w:pPr>
      <w:pStyle w:val="Noga"/>
      <w:tabs>
        <w:tab w:val="clear" w:pos="4320"/>
        <w:tab w:val="clear" w:pos="8640"/>
        <w:tab w:val="right" w:pos="10771"/>
      </w:tabs>
      <w:jc w:val="cen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C58A91C" wp14:editId="105C4A0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355" cy="57340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355" cy="57340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2B62630" id="Group 3" o:spid="_x0000_s1026" style="position:absolute;margin-left:0;margin-top:0;width:593.65pt;height:45.1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19503" wp14:editId="4F0E6815">
              <wp:simplePos x="0" y="0"/>
              <wp:positionH relativeFrom="page">
                <wp:posOffset>133985</wp:posOffset>
              </wp:positionH>
              <wp:positionV relativeFrom="page">
                <wp:posOffset>10123170</wp:posOffset>
              </wp:positionV>
              <wp:extent cx="90805" cy="554990"/>
              <wp:effectExtent l="10160" t="7620" r="1333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1BF265A" id="Rectangle 2" o:spid="_x0000_s1026" style="position:absolute;margin-left:10.55pt;margin-top:797.1pt;width:7.15pt;height:43.7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" fillcolor="#4bacc6" strokecolor="#205867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BDF38" wp14:editId="206F4F46">
              <wp:simplePos x="0" y="0"/>
              <wp:positionH relativeFrom="page">
                <wp:posOffset>7333615</wp:posOffset>
              </wp:positionH>
              <wp:positionV relativeFrom="page">
                <wp:posOffset>10123170</wp:posOffset>
              </wp:positionV>
              <wp:extent cx="90805" cy="554990"/>
              <wp:effectExtent l="8890" t="7620" r="508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6EEC9BF" id="Rectangle 1" o:spid="_x0000_s1026" style="position:absolute;margin-left:577.45pt;margin-top:797.1pt;width:7.15pt;height:43.7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" fillcolor="#4bacc6" strokecolor="#205867">
              <w10:wrap anchorx="page" anchory="page"/>
            </v:rect>
          </w:pict>
        </mc:Fallback>
      </mc:AlternateContent>
    </w:r>
  </w:p>
  <w:p w14:paraId="29F151B8" w14:textId="77777777" w:rsidR="003666D0" w:rsidRDefault="00532EEB" w:rsidP="003666D0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5692" w14:textId="77777777" w:rsidR="00532EEB" w:rsidRDefault="00532EEB" w:rsidP="003566A0">
      <w:r>
        <w:separator/>
      </w:r>
    </w:p>
  </w:footnote>
  <w:footnote w:type="continuationSeparator" w:id="0">
    <w:p w14:paraId="3D43C9C3" w14:textId="77777777" w:rsidR="00532EEB" w:rsidRDefault="00532EEB" w:rsidP="003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A242" w14:textId="37F3ADDB" w:rsidR="00584CAA" w:rsidRDefault="00584CAA" w:rsidP="00584CAA">
    <w:pPr>
      <w:pStyle w:val="ECVCurriculumVitaeNextPages"/>
    </w:pPr>
    <w:r>
      <w:rPr>
        <w:noProof/>
      </w:rPr>
      <w:drawing>
        <wp:anchor distT="0" distB="0" distL="0" distR="0" simplePos="0" relativeHeight="251664384" behindDoc="0" locked="0" layoutInCell="1" allowOverlap="1" wp14:anchorId="2BBCE6E5" wp14:editId="1CEFD6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Verena </w:t>
    </w:r>
    <w:proofErr w:type="spellStart"/>
    <w:r>
      <w:rPr>
        <w:szCs w:val="20"/>
      </w:rPr>
      <w:t>Rošic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Feguš</w:t>
    </w:r>
    <w:proofErr w:type="spellEnd"/>
    <w:r>
      <w:t xml:space="preserve"> </w:t>
    </w:r>
  </w:p>
  <w:p w14:paraId="2AFB41F8" w14:textId="77777777" w:rsidR="00584CAA" w:rsidRDefault="00584C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5944"/>
    <w:multiLevelType w:val="hybridMultilevel"/>
    <w:tmpl w:val="97C6FEF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73403F"/>
    <w:multiLevelType w:val="hybridMultilevel"/>
    <w:tmpl w:val="27649ECE"/>
    <w:lvl w:ilvl="0" w:tplc="042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9840DDE"/>
    <w:multiLevelType w:val="hybridMultilevel"/>
    <w:tmpl w:val="6C1ABEB2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wMDAwNjU3Mzc2sbBU0lEKTi0uzszPAykwrAUAf+wieSwAAAA="/>
  </w:docVars>
  <w:rsids>
    <w:rsidRoot w:val="00DC3BA7"/>
    <w:rsid w:val="000158BD"/>
    <w:rsid w:val="000A4E41"/>
    <w:rsid w:val="00107F0F"/>
    <w:rsid w:val="00112F9E"/>
    <w:rsid w:val="00114270"/>
    <w:rsid w:val="00131F01"/>
    <w:rsid w:val="00133F8E"/>
    <w:rsid w:val="00157CDC"/>
    <w:rsid w:val="00186AF2"/>
    <w:rsid w:val="001C56A1"/>
    <w:rsid w:val="00293294"/>
    <w:rsid w:val="002B677B"/>
    <w:rsid w:val="002C24ED"/>
    <w:rsid w:val="002D51F0"/>
    <w:rsid w:val="002F2BA0"/>
    <w:rsid w:val="00314C41"/>
    <w:rsid w:val="003566A0"/>
    <w:rsid w:val="00384270"/>
    <w:rsid w:val="003969ED"/>
    <w:rsid w:val="003D313F"/>
    <w:rsid w:val="00402FE8"/>
    <w:rsid w:val="00415D54"/>
    <w:rsid w:val="00425B4F"/>
    <w:rsid w:val="004A325D"/>
    <w:rsid w:val="004C3454"/>
    <w:rsid w:val="004F6F1D"/>
    <w:rsid w:val="00531249"/>
    <w:rsid w:val="00532EEB"/>
    <w:rsid w:val="00550F98"/>
    <w:rsid w:val="00584CAA"/>
    <w:rsid w:val="005857CB"/>
    <w:rsid w:val="005A5E18"/>
    <w:rsid w:val="00623DA4"/>
    <w:rsid w:val="006519A8"/>
    <w:rsid w:val="006526FB"/>
    <w:rsid w:val="00653CB4"/>
    <w:rsid w:val="00687033"/>
    <w:rsid w:val="006A23B0"/>
    <w:rsid w:val="006D0AEC"/>
    <w:rsid w:val="006D26F7"/>
    <w:rsid w:val="006E5CEE"/>
    <w:rsid w:val="006F1312"/>
    <w:rsid w:val="007F4C6F"/>
    <w:rsid w:val="00831E5C"/>
    <w:rsid w:val="00874FCD"/>
    <w:rsid w:val="008B3443"/>
    <w:rsid w:val="008B784D"/>
    <w:rsid w:val="008C32EA"/>
    <w:rsid w:val="008C40EF"/>
    <w:rsid w:val="008E5D4C"/>
    <w:rsid w:val="009E7508"/>
    <w:rsid w:val="00A11D76"/>
    <w:rsid w:val="00A14C11"/>
    <w:rsid w:val="00A7210F"/>
    <w:rsid w:val="00A92640"/>
    <w:rsid w:val="00AB61BD"/>
    <w:rsid w:val="00B003DB"/>
    <w:rsid w:val="00B474F5"/>
    <w:rsid w:val="00B63B9F"/>
    <w:rsid w:val="00B87D0B"/>
    <w:rsid w:val="00BA40A6"/>
    <w:rsid w:val="00BA4F3B"/>
    <w:rsid w:val="00BC53B9"/>
    <w:rsid w:val="00C179BA"/>
    <w:rsid w:val="00C45282"/>
    <w:rsid w:val="00C7684B"/>
    <w:rsid w:val="00CA0326"/>
    <w:rsid w:val="00CB4A5E"/>
    <w:rsid w:val="00CE6D88"/>
    <w:rsid w:val="00D27D27"/>
    <w:rsid w:val="00D33340"/>
    <w:rsid w:val="00D345E4"/>
    <w:rsid w:val="00D82589"/>
    <w:rsid w:val="00DA236F"/>
    <w:rsid w:val="00DC3BA7"/>
    <w:rsid w:val="00E0096E"/>
    <w:rsid w:val="00E31684"/>
    <w:rsid w:val="00E46352"/>
    <w:rsid w:val="00E80BDF"/>
    <w:rsid w:val="00EF62CE"/>
    <w:rsid w:val="00F006DF"/>
    <w:rsid w:val="00F16627"/>
    <w:rsid w:val="00F2303C"/>
    <w:rsid w:val="00F25CC0"/>
    <w:rsid w:val="00F73F4C"/>
    <w:rsid w:val="00F975E0"/>
    <w:rsid w:val="00FC37DA"/>
    <w:rsid w:val="00FC65A2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1117"/>
  <w15:docId w15:val="{4D7D6B7F-5141-4A28-A951-2BF8B6B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3BA7"/>
    <w:pPr>
      <w:suppressAutoHyphens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DC3BA7"/>
    <w:pPr>
      <w:suppressLineNumbers/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DC3BA7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1">
    <w:name w:val="CV Heading 1"/>
    <w:basedOn w:val="Navaden"/>
    <w:next w:val="Navaden"/>
    <w:rsid w:val="00DC3BA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avaden"/>
    <w:rsid w:val="00DC3BA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C3BA7"/>
    <w:pPr>
      <w:spacing w:before="74"/>
    </w:pPr>
  </w:style>
  <w:style w:type="paragraph" w:customStyle="1" w:styleId="CVHeading3">
    <w:name w:val="CV Heading 3"/>
    <w:basedOn w:val="Navaden"/>
    <w:next w:val="Navaden"/>
    <w:rsid w:val="00DC3BA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C3BA7"/>
    <w:pPr>
      <w:spacing w:before="74"/>
    </w:pPr>
  </w:style>
  <w:style w:type="paragraph" w:customStyle="1" w:styleId="CVMajor">
    <w:name w:val="CV Major"/>
    <w:basedOn w:val="Navaden"/>
    <w:rsid w:val="00DC3BA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C3BA7"/>
    <w:pPr>
      <w:spacing w:before="74"/>
    </w:pPr>
  </w:style>
  <w:style w:type="paragraph" w:customStyle="1" w:styleId="CVNormal">
    <w:name w:val="CV Normal"/>
    <w:basedOn w:val="Navaden"/>
    <w:rsid w:val="00DC3BA7"/>
    <w:pPr>
      <w:ind w:left="113" w:right="113"/>
    </w:pPr>
  </w:style>
  <w:style w:type="paragraph" w:customStyle="1" w:styleId="CVSpacer">
    <w:name w:val="CV Spacer"/>
    <w:basedOn w:val="CVNormal"/>
    <w:rsid w:val="00DC3BA7"/>
    <w:rPr>
      <w:sz w:val="4"/>
    </w:rPr>
  </w:style>
  <w:style w:type="paragraph" w:customStyle="1" w:styleId="CVNormal-FirstLine">
    <w:name w:val="CV Normal - First Line"/>
    <w:basedOn w:val="CVNormal"/>
    <w:next w:val="CVNormal"/>
    <w:rsid w:val="00DC3BA7"/>
    <w:pPr>
      <w:spacing w:before="74"/>
    </w:pPr>
  </w:style>
  <w:style w:type="paragraph" w:styleId="Glava">
    <w:name w:val="header"/>
    <w:basedOn w:val="Navaden"/>
    <w:link w:val="GlavaZnak"/>
    <w:uiPriority w:val="99"/>
    <w:unhideWhenUsed/>
    <w:rsid w:val="003566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66A0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8C32E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6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64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ECVCurriculumVitaeNextPages">
    <w:name w:val="_ECV_CurriculumVitae_NextPages"/>
    <w:basedOn w:val="Navaden"/>
    <w:rsid w:val="00584CAA"/>
    <w:pPr>
      <w:widowControl w:val="0"/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ena.rosi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0C6648-AC14-4518-A3D7-7B44DF56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VERENA</cp:lastModifiedBy>
  <cp:revision>10</cp:revision>
  <dcterms:created xsi:type="dcterms:W3CDTF">2019-01-07T13:13:00Z</dcterms:created>
  <dcterms:modified xsi:type="dcterms:W3CDTF">2020-11-05T20:03:00Z</dcterms:modified>
</cp:coreProperties>
</file>